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5C1B39" w14:textId="77777777" w:rsidR="00BB3CC4" w:rsidRPr="00BB3CC4" w:rsidRDefault="00BB3CC4" w:rsidP="00BB3CC4">
      <w:pPr>
        <w:spacing w:line="259" w:lineRule="auto"/>
        <w:jc w:val="center"/>
        <w:rPr>
          <w:b/>
          <w:bCs/>
          <w:i/>
          <w:iCs/>
          <w:sz w:val="28"/>
          <w:szCs w:val="28"/>
        </w:rPr>
      </w:pPr>
      <w:r w:rsidRPr="00BB3CC4">
        <w:rPr>
          <w:b/>
          <w:bCs/>
          <w:i/>
          <w:iCs/>
          <w:sz w:val="28"/>
          <w:szCs w:val="28"/>
        </w:rPr>
        <w:t>Istruzioni per le istanze di liquidazione dei compensi di custodi e professionisti delegati</w:t>
      </w:r>
    </w:p>
    <w:p w14:paraId="3F8D2FF3" w14:textId="77777777" w:rsidR="00BB3CC4" w:rsidRPr="00BB3CC4" w:rsidRDefault="00BB3CC4" w:rsidP="00BB3CC4">
      <w:pPr>
        <w:spacing w:line="259" w:lineRule="auto"/>
        <w:jc w:val="both"/>
        <w:rPr>
          <w:sz w:val="28"/>
          <w:szCs w:val="28"/>
        </w:rPr>
      </w:pPr>
      <w:r w:rsidRPr="00BB3CC4">
        <w:rPr>
          <w:sz w:val="28"/>
          <w:szCs w:val="28"/>
        </w:rPr>
        <w:t>Al fine di semplificare la fase della liquidazione dei compensi di professionisti delegati e custodi e di velocizzare la trattazione delle correlate istanze, appare opportuno l’indicazione di “linee guida” in tema, con la proposta ai professionisti di un modello di istanza che essi potranno utilizzare nelle procedure esecutive.</w:t>
      </w:r>
    </w:p>
    <w:p w14:paraId="267559BE" w14:textId="77777777" w:rsidR="00BB3CC4" w:rsidRPr="00BB3CC4" w:rsidRDefault="00BB3CC4" w:rsidP="00BB3CC4">
      <w:pPr>
        <w:spacing w:line="259" w:lineRule="auto"/>
        <w:jc w:val="both"/>
        <w:rPr>
          <w:sz w:val="28"/>
          <w:szCs w:val="28"/>
        </w:rPr>
      </w:pPr>
      <w:r w:rsidRPr="00BB3CC4">
        <w:rPr>
          <w:sz w:val="28"/>
          <w:szCs w:val="28"/>
        </w:rPr>
        <w:t>Si sottopone all’attenzione dei professionisti che il modello è ispirato ai seguenti criteri generali in base ai quali:</w:t>
      </w:r>
    </w:p>
    <w:p w14:paraId="7F00870A" w14:textId="4AB9396E" w:rsidR="00BB3CC4" w:rsidRPr="00BB3CC4" w:rsidRDefault="00BB3CC4" w:rsidP="00BB3CC4">
      <w:pPr>
        <w:spacing w:line="259" w:lineRule="auto"/>
        <w:jc w:val="both"/>
        <w:rPr>
          <w:sz w:val="28"/>
          <w:szCs w:val="28"/>
        </w:rPr>
      </w:pPr>
      <w:r w:rsidRPr="00BB3CC4">
        <w:rPr>
          <w:sz w:val="28"/>
          <w:szCs w:val="28"/>
        </w:rPr>
        <w:t>- va distinta l’attività di custodia da quella di professionista delegato alla vendita, i cui regimi normativi sono diversi anche quanto ai compensi (</w:t>
      </w:r>
      <w:proofErr w:type="spellStart"/>
      <w:r w:rsidRPr="00BB3CC4">
        <w:rPr>
          <w:sz w:val="28"/>
          <w:szCs w:val="28"/>
        </w:rPr>
        <w:t>d.m.</w:t>
      </w:r>
      <w:proofErr w:type="spellEnd"/>
      <w:r w:rsidRPr="00BB3CC4">
        <w:rPr>
          <w:sz w:val="28"/>
          <w:szCs w:val="28"/>
        </w:rPr>
        <w:t xml:space="preserve"> n. 227/2015 e </w:t>
      </w:r>
      <w:proofErr w:type="spellStart"/>
      <w:r w:rsidRPr="00BB3CC4">
        <w:rPr>
          <w:sz w:val="28"/>
          <w:szCs w:val="28"/>
        </w:rPr>
        <w:t>d.m.</w:t>
      </w:r>
      <w:proofErr w:type="spellEnd"/>
      <w:r w:rsidRPr="00BB3CC4">
        <w:rPr>
          <w:sz w:val="28"/>
          <w:szCs w:val="28"/>
        </w:rPr>
        <w:t xml:space="preserve"> </w:t>
      </w:r>
      <w:r w:rsidR="0076391B">
        <w:rPr>
          <w:sz w:val="28"/>
          <w:szCs w:val="28"/>
        </w:rPr>
        <w:t>n.80</w:t>
      </w:r>
      <w:r w:rsidRPr="00BB3CC4">
        <w:rPr>
          <w:sz w:val="28"/>
          <w:szCs w:val="28"/>
        </w:rPr>
        <w:t>/2009);</w:t>
      </w:r>
    </w:p>
    <w:p w14:paraId="5249939A" w14:textId="39869CE9" w:rsidR="00BB3CC4" w:rsidRPr="00BB3CC4" w:rsidRDefault="00BB3CC4" w:rsidP="00BB3CC4">
      <w:pPr>
        <w:spacing w:line="259" w:lineRule="auto"/>
        <w:jc w:val="both"/>
        <w:rPr>
          <w:sz w:val="28"/>
          <w:szCs w:val="28"/>
        </w:rPr>
      </w:pPr>
      <w:r w:rsidRPr="00BB3CC4">
        <w:rPr>
          <w:sz w:val="28"/>
          <w:szCs w:val="28"/>
        </w:rPr>
        <w:t xml:space="preserve">- in sede di istanza di liquidazione dei compensi vanno indicate le spese affrontate, ma è necessario distinguere nell’istanza tra gli esborsi cui si è fatto fronte con il fondo spese messo a disposizione dal creditore procedente (secondo le indicazioni di cui all’ordinanza di delega della vendita) e quelle che sono state direttamente anticipate dal professionista (in via d’eccezione e per i cd. affari correnti); ciò si rende necessario perché il </w:t>
      </w:r>
      <w:proofErr w:type="spellStart"/>
      <w:r w:rsidRPr="00BB3CC4">
        <w:rPr>
          <w:sz w:val="28"/>
          <w:szCs w:val="28"/>
        </w:rPr>
        <w:t>g.e</w:t>
      </w:r>
      <w:proofErr w:type="spellEnd"/>
      <w:r w:rsidRPr="00BB3CC4">
        <w:rPr>
          <w:sz w:val="28"/>
          <w:szCs w:val="28"/>
        </w:rPr>
        <w:t>., pur avendo interesse a conoscere di tutti gli esborsi (che saranno comunque riportati nel successivo progetto di distribuzione da approvare), riporterà, se del caso, solo le spese anticipate dal professionista</w:t>
      </w:r>
      <w:r w:rsidR="00FE4BCA">
        <w:rPr>
          <w:sz w:val="28"/>
          <w:szCs w:val="28"/>
        </w:rPr>
        <w:t xml:space="preserve"> (e comprovate da idonea documentazione </w:t>
      </w:r>
      <w:proofErr w:type="gramStart"/>
      <w:r w:rsidR="00FE4BCA">
        <w:rPr>
          <w:sz w:val="28"/>
          <w:szCs w:val="28"/>
        </w:rPr>
        <w:t xml:space="preserve">giustificativa) </w:t>
      </w:r>
      <w:r w:rsidRPr="00BB3CC4">
        <w:rPr>
          <w:sz w:val="28"/>
          <w:szCs w:val="28"/>
        </w:rPr>
        <w:t xml:space="preserve"> nel</w:t>
      </w:r>
      <w:proofErr w:type="gramEnd"/>
      <w:r w:rsidRPr="00BB3CC4">
        <w:rPr>
          <w:sz w:val="28"/>
          <w:szCs w:val="28"/>
        </w:rPr>
        <w:t xml:space="preserve"> decreto di liquidazione e ciò perché il decreto di liquidazione costituisce comunque titolo esecutivo per il professionista;</w:t>
      </w:r>
    </w:p>
    <w:p w14:paraId="6BB05648" w14:textId="77777777" w:rsidR="00BB3CC4" w:rsidRPr="00BB3CC4" w:rsidRDefault="00BB3CC4" w:rsidP="00BB3CC4">
      <w:pPr>
        <w:spacing w:line="259" w:lineRule="auto"/>
        <w:jc w:val="both"/>
        <w:rPr>
          <w:sz w:val="28"/>
          <w:szCs w:val="28"/>
        </w:rPr>
      </w:pPr>
      <w:r w:rsidRPr="00BB3CC4">
        <w:rPr>
          <w:sz w:val="28"/>
          <w:szCs w:val="28"/>
        </w:rPr>
        <w:t>- per i compensi del professionista delegato deve distinguersi tra quelli da porre a carico della procedura e quelli a carico dell’aggiudicatario (v. art.2, co.7, d.m.227/2015), formulando due separate istanze (auspicabilmente coeve);</w:t>
      </w:r>
    </w:p>
    <w:p w14:paraId="66EAF21A" w14:textId="1B62751D" w:rsidR="00BB3CC4" w:rsidRPr="00BB3CC4" w:rsidRDefault="00BB3CC4" w:rsidP="00BB3CC4">
      <w:pPr>
        <w:spacing w:line="259" w:lineRule="auto"/>
        <w:jc w:val="both"/>
        <w:rPr>
          <w:sz w:val="28"/>
          <w:szCs w:val="28"/>
        </w:rPr>
      </w:pPr>
      <w:r w:rsidRPr="00BB3CC4">
        <w:rPr>
          <w:sz w:val="28"/>
          <w:szCs w:val="28"/>
        </w:rPr>
        <w:t xml:space="preserve">-deve </w:t>
      </w:r>
      <w:r w:rsidR="0076391B">
        <w:rPr>
          <w:sz w:val="28"/>
          <w:szCs w:val="28"/>
        </w:rPr>
        <w:t xml:space="preserve">inoltre </w:t>
      </w:r>
      <w:r w:rsidRPr="00BB3CC4">
        <w:rPr>
          <w:sz w:val="28"/>
          <w:szCs w:val="28"/>
        </w:rPr>
        <w:t>sempre considerarsi la distinzione in fasi e se quelle si sono effettivamente svolte (es. in caso di estinzione prima della vendita saranno escluse le fasi non espletate);</w:t>
      </w:r>
      <w:r w:rsidR="00625056">
        <w:rPr>
          <w:sz w:val="28"/>
          <w:szCs w:val="28"/>
        </w:rPr>
        <w:t xml:space="preserve"> naturalmente deve aversi riguardo ai valori di riferimento tanto per l’attività di delegato che di custode (valore di stima se non si è pervenuti a vendita, valore ultima base d’asta se non si perviene a vendita ma vi sono stati esperimenti, valore del venduto);</w:t>
      </w:r>
    </w:p>
    <w:p w14:paraId="1523D901" w14:textId="77777777" w:rsidR="006D4CFE" w:rsidRDefault="00BB3CC4" w:rsidP="00BB3CC4">
      <w:pPr>
        <w:spacing w:line="259" w:lineRule="auto"/>
        <w:jc w:val="both"/>
        <w:rPr>
          <w:sz w:val="28"/>
          <w:szCs w:val="28"/>
        </w:rPr>
      </w:pPr>
      <w:r w:rsidRPr="00BB3CC4">
        <w:rPr>
          <w:sz w:val="28"/>
          <w:szCs w:val="28"/>
        </w:rPr>
        <w:t>- la liquidazione di distinti compensi del professionista delegato per ciascun lotto per alcune delle fasi non è scontata</w:t>
      </w:r>
      <w:r w:rsidR="006D4CFE">
        <w:rPr>
          <w:sz w:val="28"/>
          <w:szCs w:val="28"/>
        </w:rPr>
        <w:t>; in particolare, la pluralità dei lotti può portare a corrispondenti plurimi compensi per la fase di trasferimento quando siano emessi distinti decreti di trasferimento per lotto;</w:t>
      </w:r>
    </w:p>
    <w:p w14:paraId="5E56C9A7" w14:textId="1B48B489" w:rsidR="00BB3CC4" w:rsidRPr="00BB3CC4" w:rsidRDefault="006D4CFE" w:rsidP="00BB3CC4">
      <w:pPr>
        <w:spacing w:line="259" w:lineRule="auto"/>
        <w:jc w:val="both"/>
        <w:rPr>
          <w:sz w:val="28"/>
          <w:szCs w:val="28"/>
        </w:rPr>
      </w:pPr>
      <w:r>
        <w:rPr>
          <w:sz w:val="28"/>
          <w:szCs w:val="28"/>
        </w:rPr>
        <w:lastRenderedPageBreak/>
        <w:t>-</w:t>
      </w:r>
      <w:r w:rsidR="00BB3CC4" w:rsidRPr="00BB3CC4">
        <w:rPr>
          <w:sz w:val="28"/>
          <w:szCs w:val="28"/>
        </w:rPr>
        <w:t xml:space="preserve">l’art. 2 </w:t>
      </w:r>
      <w:proofErr w:type="spellStart"/>
      <w:r w:rsidR="00BB3CC4" w:rsidRPr="00BB3CC4">
        <w:rPr>
          <w:sz w:val="28"/>
          <w:szCs w:val="28"/>
        </w:rPr>
        <w:t>d.m.</w:t>
      </w:r>
      <w:proofErr w:type="spellEnd"/>
      <w:r w:rsidR="00BB3CC4" w:rsidRPr="00BB3CC4">
        <w:rPr>
          <w:sz w:val="28"/>
          <w:szCs w:val="28"/>
        </w:rPr>
        <w:t xml:space="preserve"> 227/2015 consente la liquidazione per lotti in presenza di “</w:t>
      </w:r>
      <w:r w:rsidR="00BB3CC4" w:rsidRPr="00BB3CC4">
        <w:rPr>
          <w:i/>
          <w:iCs/>
          <w:sz w:val="28"/>
          <w:szCs w:val="28"/>
        </w:rPr>
        <w:t>giusti motivi</w:t>
      </w:r>
      <w:r w:rsidR="00BB3CC4" w:rsidRPr="00BB3CC4">
        <w:rPr>
          <w:sz w:val="28"/>
          <w:szCs w:val="28"/>
        </w:rPr>
        <w:t xml:space="preserve">” che il professionista potrà, se del caso, rappresentare al </w:t>
      </w:r>
      <w:proofErr w:type="spellStart"/>
      <w:r w:rsidR="00BB3CC4" w:rsidRPr="00BB3CC4">
        <w:rPr>
          <w:sz w:val="28"/>
          <w:szCs w:val="28"/>
        </w:rPr>
        <w:t>g.e</w:t>
      </w:r>
      <w:proofErr w:type="spellEnd"/>
      <w:r w:rsidR="00BB3CC4" w:rsidRPr="00BB3CC4">
        <w:rPr>
          <w:sz w:val="28"/>
          <w:szCs w:val="28"/>
        </w:rPr>
        <w:t xml:space="preserve">. con la propria istanza e che saranno valutati dal </w:t>
      </w:r>
      <w:proofErr w:type="spellStart"/>
      <w:r w:rsidR="00BB3CC4" w:rsidRPr="00BB3CC4">
        <w:rPr>
          <w:sz w:val="28"/>
          <w:szCs w:val="28"/>
        </w:rPr>
        <w:t>g.e</w:t>
      </w:r>
      <w:proofErr w:type="spellEnd"/>
      <w:r w:rsidR="00BB3CC4" w:rsidRPr="00BB3CC4">
        <w:rPr>
          <w:sz w:val="28"/>
          <w:szCs w:val="28"/>
        </w:rPr>
        <w:t>. caso per caso;</w:t>
      </w:r>
    </w:p>
    <w:p w14:paraId="4282EF53" w14:textId="21EE5667" w:rsidR="00BB3CC4" w:rsidRPr="00BB3CC4" w:rsidRDefault="00BB3CC4" w:rsidP="00BB3CC4">
      <w:pPr>
        <w:spacing w:line="259" w:lineRule="auto"/>
        <w:jc w:val="both"/>
        <w:rPr>
          <w:sz w:val="28"/>
          <w:szCs w:val="28"/>
        </w:rPr>
      </w:pPr>
      <w:r w:rsidRPr="00BB3CC4">
        <w:rPr>
          <w:sz w:val="28"/>
          <w:szCs w:val="28"/>
        </w:rPr>
        <w:t>-la plur</w:t>
      </w:r>
      <w:r w:rsidR="006D4CFE">
        <w:rPr>
          <w:sz w:val="28"/>
          <w:szCs w:val="28"/>
        </w:rPr>
        <w:t>alità</w:t>
      </w:r>
      <w:r w:rsidRPr="00BB3CC4">
        <w:rPr>
          <w:sz w:val="28"/>
          <w:szCs w:val="28"/>
        </w:rPr>
        <w:t xml:space="preserve"> dei debitori non comporta tout court che il compenso per ogni singola fase sia moltiplicato per il loro numero: il </w:t>
      </w:r>
      <w:proofErr w:type="spellStart"/>
      <w:r w:rsidRPr="00BB3CC4">
        <w:rPr>
          <w:sz w:val="28"/>
          <w:szCs w:val="28"/>
        </w:rPr>
        <w:t>g.e</w:t>
      </w:r>
      <w:proofErr w:type="spellEnd"/>
      <w:r w:rsidRPr="00BB3CC4">
        <w:rPr>
          <w:sz w:val="28"/>
          <w:szCs w:val="28"/>
        </w:rPr>
        <w:t>. valuta se questo elemento abbia comportato attività distinte e autonome da parte del professionista (es. plurimi debitori con plurime masse da distribuire);</w:t>
      </w:r>
    </w:p>
    <w:p w14:paraId="34240CF5" w14:textId="77777777" w:rsidR="00BB3CC4" w:rsidRPr="00BB3CC4" w:rsidRDefault="00BB3CC4" w:rsidP="00BB3CC4">
      <w:pPr>
        <w:spacing w:line="259" w:lineRule="auto"/>
        <w:jc w:val="both"/>
        <w:rPr>
          <w:sz w:val="28"/>
          <w:szCs w:val="28"/>
        </w:rPr>
      </w:pPr>
      <w:r w:rsidRPr="00BB3CC4">
        <w:rPr>
          <w:sz w:val="28"/>
          <w:szCs w:val="28"/>
        </w:rPr>
        <w:t>- se vi sono elementi di fatto che hanno determinato un peso maggiore e speciali difficoltà, potrà eventualmente anche rappresentarsi la possibilità di concedere l’aumento del compenso secondo le percentuali di legge.</w:t>
      </w:r>
    </w:p>
    <w:p w14:paraId="6611E99E" w14:textId="77777777" w:rsidR="00BB3CC4" w:rsidRPr="00BB3CC4" w:rsidRDefault="00BB3CC4" w:rsidP="00BB3CC4">
      <w:pPr>
        <w:spacing w:line="259" w:lineRule="auto"/>
        <w:jc w:val="both"/>
        <w:rPr>
          <w:sz w:val="28"/>
          <w:szCs w:val="28"/>
        </w:rPr>
      </w:pPr>
    </w:p>
    <w:p w14:paraId="583C51B3" w14:textId="77777777" w:rsidR="00BB3CC4" w:rsidRPr="00BB3CC4" w:rsidRDefault="00BB3CC4" w:rsidP="00BB3CC4">
      <w:pPr>
        <w:spacing w:line="259" w:lineRule="auto"/>
        <w:jc w:val="both"/>
        <w:rPr>
          <w:sz w:val="28"/>
          <w:szCs w:val="28"/>
        </w:rPr>
      </w:pPr>
      <w:r w:rsidRPr="00BB3CC4">
        <w:rPr>
          <w:sz w:val="28"/>
          <w:szCs w:val="28"/>
        </w:rPr>
        <w:t xml:space="preserve">Si coglie l’occasione di chiarire che quanto alle procedure sospese (es. ex art.624 bis c.p.c., ex art.623 c.p.c. in caso di provvedimenti di sospensione del </w:t>
      </w:r>
      <w:proofErr w:type="spellStart"/>
      <w:r w:rsidRPr="00BB3CC4">
        <w:rPr>
          <w:sz w:val="28"/>
          <w:szCs w:val="28"/>
        </w:rPr>
        <w:t>g.d</w:t>
      </w:r>
      <w:proofErr w:type="spellEnd"/>
      <w:r w:rsidRPr="00BB3CC4">
        <w:rPr>
          <w:sz w:val="28"/>
          <w:szCs w:val="28"/>
        </w:rPr>
        <w:t>. etc.) i magistrati attualmente in servizio ritengono di poter valutare la possibilità di liquidare l’attività compiuta dal professionista delegato sino a quel momento e ciò in ragione anche della tempistica spesso assai significativa delle sospensioni. Resta inteso che ciò è rimesso alla valutazione sulla singola procedura e che, laddove vi sia liquidazione e poi la procedura riprenda il suo corso, quanto già liquidato sarà considerato ai fini della liquidazione definitiva dopo la vendita e la distribuzione.</w:t>
      </w:r>
    </w:p>
    <w:p w14:paraId="1D17312C" w14:textId="77777777" w:rsidR="00BB3CC4" w:rsidRPr="00BB3CC4" w:rsidRDefault="00BB3CC4" w:rsidP="00BB3CC4">
      <w:pPr>
        <w:spacing w:line="259" w:lineRule="auto"/>
        <w:jc w:val="both"/>
        <w:rPr>
          <w:sz w:val="28"/>
          <w:szCs w:val="28"/>
        </w:rPr>
      </w:pPr>
      <w:r w:rsidRPr="00BB3CC4">
        <w:rPr>
          <w:sz w:val="28"/>
          <w:szCs w:val="28"/>
        </w:rPr>
        <w:t xml:space="preserve">Infine, data la peculiarità delle attività di ogni singola procedura esecutiva, si prega di considerare che, fermi i sopra esposti princìpi “guida”, le valutazioni del </w:t>
      </w:r>
      <w:proofErr w:type="spellStart"/>
      <w:r w:rsidRPr="00BB3CC4">
        <w:rPr>
          <w:sz w:val="28"/>
          <w:szCs w:val="28"/>
        </w:rPr>
        <w:t>g.e</w:t>
      </w:r>
      <w:proofErr w:type="spellEnd"/>
      <w:r w:rsidRPr="00BB3CC4">
        <w:rPr>
          <w:sz w:val="28"/>
          <w:szCs w:val="28"/>
        </w:rPr>
        <w:t>. sono comunque legate alla singola procedura e in quella devono essere lette e interpretate.</w:t>
      </w:r>
    </w:p>
    <w:p w14:paraId="553D662C" w14:textId="1F35F7A8" w:rsidR="00BB3CC4" w:rsidRPr="00BB3CC4" w:rsidRDefault="00BB3CC4" w:rsidP="00BB3CC4">
      <w:pPr>
        <w:spacing w:line="259" w:lineRule="auto"/>
        <w:jc w:val="both"/>
        <w:rPr>
          <w:sz w:val="28"/>
          <w:szCs w:val="28"/>
        </w:rPr>
      </w:pPr>
      <w:r w:rsidRPr="00BB3CC4">
        <w:rPr>
          <w:sz w:val="28"/>
          <w:szCs w:val="28"/>
        </w:rPr>
        <w:t>In allegato il modello di istanza di liquidazione</w:t>
      </w:r>
      <w:r w:rsidR="00066157">
        <w:rPr>
          <w:sz w:val="28"/>
          <w:szCs w:val="28"/>
        </w:rPr>
        <w:t xml:space="preserve"> (adattabile ai vari casi</w:t>
      </w:r>
      <w:r w:rsidR="006D4CFE">
        <w:rPr>
          <w:sz w:val="28"/>
          <w:szCs w:val="28"/>
        </w:rPr>
        <w:t>, da depositarsi telematicamente in formato word</w:t>
      </w:r>
      <w:r w:rsidR="00066157">
        <w:rPr>
          <w:sz w:val="28"/>
          <w:szCs w:val="28"/>
        </w:rPr>
        <w:t>)</w:t>
      </w:r>
      <w:r w:rsidR="00DC4EA5">
        <w:rPr>
          <w:sz w:val="28"/>
          <w:szCs w:val="28"/>
        </w:rPr>
        <w:t>, che prevede altresì apposito spazio per la rappresentazione discorsiva di peculiarità della singola procedura che possano avere un rilievo nelle valutazioni del giudicante</w:t>
      </w:r>
      <w:r w:rsidR="00625056">
        <w:rPr>
          <w:sz w:val="28"/>
          <w:szCs w:val="28"/>
        </w:rPr>
        <w:t>.</w:t>
      </w:r>
    </w:p>
    <w:p w14:paraId="2F859BFF" w14:textId="77777777" w:rsidR="00BB3CC4" w:rsidRPr="00BB3CC4" w:rsidRDefault="00BB3CC4" w:rsidP="00BB3CC4">
      <w:pPr>
        <w:spacing w:line="259" w:lineRule="auto"/>
        <w:jc w:val="both"/>
        <w:rPr>
          <w:sz w:val="28"/>
          <w:szCs w:val="28"/>
        </w:rPr>
      </w:pPr>
      <w:r w:rsidRPr="00BB3CC4">
        <w:rPr>
          <w:sz w:val="28"/>
          <w:szCs w:val="28"/>
        </w:rPr>
        <w:t>Grazie per la preziosa collaborazione.</w:t>
      </w:r>
    </w:p>
    <w:p w14:paraId="33BE62B3" w14:textId="77777777" w:rsidR="00BB3CC4" w:rsidRPr="00BB3CC4" w:rsidRDefault="00BB3CC4" w:rsidP="00BB3CC4">
      <w:pPr>
        <w:spacing w:line="259" w:lineRule="auto"/>
        <w:jc w:val="center"/>
        <w:rPr>
          <w:sz w:val="28"/>
          <w:szCs w:val="28"/>
        </w:rPr>
      </w:pPr>
      <w:r w:rsidRPr="00BB3CC4">
        <w:rPr>
          <w:sz w:val="28"/>
          <w:szCs w:val="28"/>
        </w:rPr>
        <w:t>I Magistrati dell’Ufficio dell’esecuzione immobiliare</w:t>
      </w:r>
    </w:p>
    <w:p w14:paraId="29DD376F" w14:textId="77777777" w:rsidR="00BB3CC4" w:rsidRPr="00BB3CC4" w:rsidRDefault="00BB3CC4" w:rsidP="00BB3CC4">
      <w:pPr>
        <w:spacing w:line="259" w:lineRule="auto"/>
        <w:jc w:val="center"/>
        <w:rPr>
          <w:sz w:val="28"/>
          <w:szCs w:val="28"/>
        </w:rPr>
      </w:pPr>
      <w:r w:rsidRPr="00BB3CC4">
        <w:rPr>
          <w:sz w:val="28"/>
          <w:szCs w:val="28"/>
        </w:rPr>
        <w:t>Dott.ssa Francesca Pastore</w:t>
      </w:r>
    </w:p>
    <w:p w14:paraId="26A45EF7" w14:textId="77777777" w:rsidR="00BB3CC4" w:rsidRPr="00BB3CC4" w:rsidRDefault="00BB3CC4" w:rsidP="00BB3CC4">
      <w:pPr>
        <w:spacing w:line="259" w:lineRule="auto"/>
        <w:jc w:val="center"/>
        <w:rPr>
          <w:sz w:val="28"/>
          <w:szCs w:val="28"/>
        </w:rPr>
      </w:pPr>
      <w:r w:rsidRPr="00BB3CC4">
        <w:rPr>
          <w:sz w:val="28"/>
          <w:szCs w:val="28"/>
        </w:rPr>
        <w:t>Dott.ssa Diletta Calò</w:t>
      </w:r>
    </w:p>
    <w:p w14:paraId="0ADBE1B5" w14:textId="77777777" w:rsidR="00BB3CC4" w:rsidRPr="00BB3CC4" w:rsidRDefault="00BB3CC4" w:rsidP="00BB3CC4">
      <w:pPr>
        <w:spacing w:line="259" w:lineRule="auto"/>
        <w:jc w:val="center"/>
        <w:rPr>
          <w:sz w:val="28"/>
          <w:szCs w:val="28"/>
        </w:rPr>
      </w:pPr>
    </w:p>
    <w:p w14:paraId="306E842B" w14:textId="1011D825" w:rsidR="00BB3CC4" w:rsidRDefault="00BB3CC4" w:rsidP="00BB3CC4">
      <w:pPr>
        <w:spacing w:line="259" w:lineRule="auto"/>
        <w:jc w:val="center"/>
        <w:rPr>
          <w:sz w:val="28"/>
          <w:szCs w:val="28"/>
        </w:rPr>
      </w:pPr>
    </w:p>
    <w:sectPr w:rsidR="00BB3CC4">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D433D22"/>
    <w:multiLevelType w:val="hybridMultilevel"/>
    <w:tmpl w:val="4C1EAC18"/>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15:restartNumberingAfterBreak="0">
    <w:nsid w:val="25EF77A4"/>
    <w:multiLevelType w:val="hybridMultilevel"/>
    <w:tmpl w:val="490A66AE"/>
    <w:lvl w:ilvl="0" w:tplc="3FA40B70">
      <w:start w:val="1"/>
      <w:numFmt w:val="decimal"/>
      <w:lvlText w:val="%1)"/>
      <w:lvlJc w:val="left"/>
      <w:pPr>
        <w:ind w:left="1080" w:hanging="360"/>
      </w:pPr>
      <w:rPr>
        <w:rFonts w:hint="default"/>
      </w:r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2" w15:restartNumberingAfterBreak="0">
    <w:nsid w:val="39900647"/>
    <w:multiLevelType w:val="hybridMultilevel"/>
    <w:tmpl w:val="F5322A76"/>
    <w:lvl w:ilvl="0" w:tplc="04100001">
      <w:start w:val="1"/>
      <w:numFmt w:val="bullet"/>
      <w:lvlText w:val=""/>
      <w:lvlJc w:val="left"/>
      <w:pPr>
        <w:ind w:left="1146" w:hanging="360"/>
      </w:pPr>
      <w:rPr>
        <w:rFonts w:ascii="Symbol" w:hAnsi="Symbol" w:hint="default"/>
      </w:rPr>
    </w:lvl>
    <w:lvl w:ilvl="1" w:tplc="04100003">
      <w:start w:val="1"/>
      <w:numFmt w:val="bullet"/>
      <w:lvlText w:val="o"/>
      <w:lvlJc w:val="left"/>
      <w:pPr>
        <w:ind w:left="1866" w:hanging="360"/>
      </w:pPr>
      <w:rPr>
        <w:rFonts w:ascii="Courier New" w:hAnsi="Courier New" w:cs="Courier New" w:hint="default"/>
      </w:rPr>
    </w:lvl>
    <w:lvl w:ilvl="2" w:tplc="04100005">
      <w:start w:val="1"/>
      <w:numFmt w:val="bullet"/>
      <w:lvlText w:val=""/>
      <w:lvlJc w:val="left"/>
      <w:pPr>
        <w:ind w:left="2586" w:hanging="360"/>
      </w:pPr>
      <w:rPr>
        <w:rFonts w:ascii="Wingdings" w:hAnsi="Wingdings" w:hint="default"/>
      </w:rPr>
    </w:lvl>
    <w:lvl w:ilvl="3" w:tplc="04100001">
      <w:start w:val="1"/>
      <w:numFmt w:val="bullet"/>
      <w:lvlText w:val=""/>
      <w:lvlJc w:val="left"/>
      <w:pPr>
        <w:ind w:left="3306" w:hanging="360"/>
      </w:pPr>
      <w:rPr>
        <w:rFonts w:ascii="Symbol" w:hAnsi="Symbol" w:hint="default"/>
      </w:rPr>
    </w:lvl>
    <w:lvl w:ilvl="4" w:tplc="04100003">
      <w:start w:val="1"/>
      <w:numFmt w:val="bullet"/>
      <w:lvlText w:val="o"/>
      <w:lvlJc w:val="left"/>
      <w:pPr>
        <w:ind w:left="4026" w:hanging="360"/>
      </w:pPr>
      <w:rPr>
        <w:rFonts w:ascii="Courier New" w:hAnsi="Courier New" w:cs="Courier New" w:hint="default"/>
      </w:rPr>
    </w:lvl>
    <w:lvl w:ilvl="5" w:tplc="04100005">
      <w:start w:val="1"/>
      <w:numFmt w:val="bullet"/>
      <w:lvlText w:val=""/>
      <w:lvlJc w:val="left"/>
      <w:pPr>
        <w:ind w:left="4746" w:hanging="360"/>
      </w:pPr>
      <w:rPr>
        <w:rFonts w:ascii="Wingdings" w:hAnsi="Wingdings" w:hint="default"/>
      </w:rPr>
    </w:lvl>
    <w:lvl w:ilvl="6" w:tplc="04100001">
      <w:start w:val="1"/>
      <w:numFmt w:val="bullet"/>
      <w:lvlText w:val=""/>
      <w:lvlJc w:val="left"/>
      <w:pPr>
        <w:ind w:left="5466" w:hanging="360"/>
      </w:pPr>
      <w:rPr>
        <w:rFonts w:ascii="Symbol" w:hAnsi="Symbol" w:hint="default"/>
      </w:rPr>
    </w:lvl>
    <w:lvl w:ilvl="7" w:tplc="04100003">
      <w:start w:val="1"/>
      <w:numFmt w:val="bullet"/>
      <w:lvlText w:val="o"/>
      <w:lvlJc w:val="left"/>
      <w:pPr>
        <w:ind w:left="6186" w:hanging="360"/>
      </w:pPr>
      <w:rPr>
        <w:rFonts w:ascii="Courier New" w:hAnsi="Courier New" w:cs="Courier New" w:hint="default"/>
      </w:rPr>
    </w:lvl>
    <w:lvl w:ilvl="8" w:tplc="04100005">
      <w:start w:val="1"/>
      <w:numFmt w:val="bullet"/>
      <w:lvlText w:val=""/>
      <w:lvlJc w:val="left"/>
      <w:pPr>
        <w:ind w:left="6906" w:hanging="360"/>
      </w:pPr>
      <w:rPr>
        <w:rFonts w:ascii="Wingdings" w:hAnsi="Wingdings" w:hint="default"/>
      </w:rPr>
    </w:lvl>
  </w:abstractNum>
  <w:abstractNum w:abstractNumId="3" w15:restartNumberingAfterBreak="0">
    <w:nsid w:val="42BD034F"/>
    <w:multiLevelType w:val="hybridMultilevel"/>
    <w:tmpl w:val="4F70D35A"/>
    <w:lvl w:ilvl="0" w:tplc="D9AC2412">
      <w:start w:val="1"/>
      <w:numFmt w:val="decimal"/>
      <w:lvlText w:val="%1)"/>
      <w:lvlJc w:val="left"/>
      <w:pPr>
        <w:ind w:left="112" w:hanging="274"/>
      </w:pPr>
      <w:rPr>
        <w:rFonts w:ascii="Times New Roman" w:eastAsia="Times New Roman" w:hAnsi="Times New Roman" w:cs="Times New Roman" w:hint="default"/>
        <w:b w:val="0"/>
        <w:bCs w:val="0"/>
        <w:i w:val="0"/>
        <w:iCs w:val="0"/>
        <w:spacing w:val="0"/>
        <w:w w:val="91"/>
        <w:sz w:val="24"/>
        <w:szCs w:val="24"/>
        <w:lang w:val="it-IT" w:eastAsia="en-US" w:bidi="ar-SA"/>
      </w:rPr>
    </w:lvl>
    <w:lvl w:ilvl="1" w:tplc="262498D0">
      <w:start w:val="1"/>
      <w:numFmt w:val="lowerLetter"/>
      <w:lvlText w:val="%2)"/>
      <w:lvlJc w:val="left"/>
      <w:pPr>
        <w:ind w:left="112" w:hanging="230"/>
      </w:pPr>
      <w:rPr>
        <w:rFonts w:ascii="Times New Roman" w:eastAsia="Times New Roman" w:hAnsi="Times New Roman" w:cs="Times New Roman" w:hint="default"/>
        <w:b w:val="0"/>
        <w:bCs w:val="0"/>
        <w:i w:val="0"/>
        <w:iCs w:val="0"/>
        <w:spacing w:val="0"/>
        <w:w w:val="87"/>
        <w:sz w:val="24"/>
        <w:szCs w:val="24"/>
        <w:lang w:val="it-IT" w:eastAsia="en-US" w:bidi="ar-SA"/>
      </w:rPr>
    </w:lvl>
    <w:lvl w:ilvl="2" w:tplc="10E463BC">
      <w:numFmt w:val="bullet"/>
      <w:lvlText w:val="•"/>
      <w:lvlJc w:val="left"/>
      <w:pPr>
        <w:ind w:left="1178" w:hanging="348"/>
      </w:pPr>
      <w:rPr>
        <w:rFonts w:ascii="Times New Roman" w:eastAsia="Times New Roman" w:hAnsi="Times New Roman" w:cs="Times New Roman" w:hint="default"/>
        <w:b w:val="0"/>
        <w:bCs w:val="0"/>
        <w:i w:val="0"/>
        <w:iCs w:val="0"/>
        <w:spacing w:val="0"/>
        <w:w w:val="101"/>
        <w:sz w:val="24"/>
        <w:szCs w:val="24"/>
        <w:lang w:val="it-IT" w:eastAsia="en-US" w:bidi="ar-SA"/>
      </w:rPr>
    </w:lvl>
    <w:lvl w:ilvl="3" w:tplc="BD8AE0AA">
      <w:numFmt w:val="bullet"/>
      <w:lvlText w:val="•"/>
      <w:lvlJc w:val="left"/>
      <w:pPr>
        <w:ind w:left="3110" w:hanging="348"/>
      </w:pPr>
      <w:rPr>
        <w:lang w:val="it-IT" w:eastAsia="en-US" w:bidi="ar-SA"/>
      </w:rPr>
    </w:lvl>
    <w:lvl w:ilvl="4" w:tplc="570E225C">
      <w:numFmt w:val="bullet"/>
      <w:lvlText w:val="•"/>
      <w:lvlJc w:val="left"/>
      <w:pPr>
        <w:ind w:left="4075" w:hanging="348"/>
      </w:pPr>
      <w:rPr>
        <w:lang w:val="it-IT" w:eastAsia="en-US" w:bidi="ar-SA"/>
      </w:rPr>
    </w:lvl>
    <w:lvl w:ilvl="5" w:tplc="AE3A6DCE">
      <w:numFmt w:val="bullet"/>
      <w:lvlText w:val="•"/>
      <w:lvlJc w:val="left"/>
      <w:pPr>
        <w:ind w:left="5040" w:hanging="348"/>
      </w:pPr>
      <w:rPr>
        <w:lang w:val="it-IT" w:eastAsia="en-US" w:bidi="ar-SA"/>
      </w:rPr>
    </w:lvl>
    <w:lvl w:ilvl="6" w:tplc="CF22C412">
      <w:numFmt w:val="bullet"/>
      <w:lvlText w:val="•"/>
      <w:lvlJc w:val="left"/>
      <w:pPr>
        <w:ind w:left="6005" w:hanging="348"/>
      </w:pPr>
      <w:rPr>
        <w:lang w:val="it-IT" w:eastAsia="en-US" w:bidi="ar-SA"/>
      </w:rPr>
    </w:lvl>
    <w:lvl w:ilvl="7" w:tplc="68366A2A">
      <w:numFmt w:val="bullet"/>
      <w:lvlText w:val="•"/>
      <w:lvlJc w:val="left"/>
      <w:pPr>
        <w:ind w:left="6970" w:hanging="348"/>
      </w:pPr>
      <w:rPr>
        <w:lang w:val="it-IT" w:eastAsia="en-US" w:bidi="ar-SA"/>
      </w:rPr>
    </w:lvl>
    <w:lvl w:ilvl="8" w:tplc="2C70403E">
      <w:numFmt w:val="bullet"/>
      <w:lvlText w:val="•"/>
      <w:lvlJc w:val="left"/>
      <w:pPr>
        <w:ind w:left="7936" w:hanging="348"/>
      </w:pPr>
      <w:rPr>
        <w:lang w:val="it-IT" w:eastAsia="en-US" w:bidi="ar-SA"/>
      </w:rPr>
    </w:lvl>
  </w:abstractNum>
  <w:abstractNum w:abstractNumId="4" w15:restartNumberingAfterBreak="0">
    <w:nsid w:val="58A455E6"/>
    <w:multiLevelType w:val="hybridMultilevel"/>
    <w:tmpl w:val="3FEEFB00"/>
    <w:lvl w:ilvl="0" w:tplc="D55257D8">
      <w:numFmt w:val="bullet"/>
      <w:lvlText w:val="•"/>
      <w:lvlJc w:val="left"/>
      <w:pPr>
        <w:ind w:left="112" w:hanging="709"/>
      </w:pPr>
      <w:rPr>
        <w:rFonts w:ascii="Times New Roman" w:eastAsia="Times New Roman" w:hAnsi="Times New Roman" w:cs="Times New Roman" w:hint="default"/>
        <w:b w:val="0"/>
        <w:bCs w:val="0"/>
        <w:i w:val="0"/>
        <w:iCs w:val="0"/>
        <w:spacing w:val="0"/>
        <w:w w:val="101"/>
        <w:sz w:val="24"/>
        <w:szCs w:val="24"/>
        <w:lang w:val="it-IT" w:eastAsia="en-US" w:bidi="ar-SA"/>
      </w:rPr>
    </w:lvl>
    <w:lvl w:ilvl="1" w:tplc="7B8E5E76">
      <w:numFmt w:val="bullet"/>
      <w:lvlText w:val="•"/>
      <w:lvlJc w:val="left"/>
      <w:pPr>
        <w:ind w:left="1094" w:hanging="709"/>
      </w:pPr>
      <w:rPr>
        <w:lang w:val="it-IT" w:eastAsia="en-US" w:bidi="ar-SA"/>
      </w:rPr>
    </w:lvl>
    <w:lvl w:ilvl="2" w:tplc="4B3C8DD2">
      <w:numFmt w:val="bullet"/>
      <w:lvlText w:val="•"/>
      <w:lvlJc w:val="left"/>
      <w:pPr>
        <w:ind w:left="2069" w:hanging="709"/>
      </w:pPr>
      <w:rPr>
        <w:lang w:val="it-IT" w:eastAsia="en-US" w:bidi="ar-SA"/>
      </w:rPr>
    </w:lvl>
    <w:lvl w:ilvl="3" w:tplc="3B5E16D6">
      <w:numFmt w:val="bullet"/>
      <w:lvlText w:val="•"/>
      <w:lvlJc w:val="left"/>
      <w:pPr>
        <w:ind w:left="3043" w:hanging="709"/>
      </w:pPr>
      <w:rPr>
        <w:lang w:val="it-IT" w:eastAsia="en-US" w:bidi="ar-SA"/>
      </w:rPr>
    </w:lvl>
    <w:lvl w:ilvl="4" w:tplc="7BD86E24">
      <w:numFmt w:val="bullet"/>
      <w:lvlText w:val="•"/>
      <w:lvlJc w:val="left"/>
      <w:pPr>
        <w:ind w:left="4018" w:hanging="709"/>
      </w:pPr>
      <w:rPr>
        <w:lang w:val="it-IT" w:eastAsia="en-US" w:bidi="ar-SA"/>
      </w:rPr>
    </w:lvl>
    <w:lvl w:ilvl="5" w:tplc="ED463388">
      <w:numFmt w:val="bullet"/>
      <w:lvlText w:val="•"/>
      <w:lvlJc w:val="left"/>
      <w:pPr>
        <w:ind w:left="4993" w:hanging="709"/>
      </w:pPr>
      <w:rPr>
        <w:lang w:val="it-IT" w:eastAsia="en-US" w:bidi="ar-SA"/>
      </w:rPr>
    </w:lvl>
    <w:lvl w:ilvl="6" w:tplc="4F7470D0">
      <w:numFmt w:val="bullet"/>
      <w:lvlText w:val="•"/>
      <w:lvlJc w:val="left"/>
      <w:pPr>
        <w:ind w:left="5967" w:hanging="709"/>
      </w:pPr>
      <w:rPr>
        <w:lang w:val="it-IT" w:eastAsia="en-US" w:bidi="ar-SA"/>
      </w:rPr>
    </w:lvl>
    <w:lvl w:ilvl="7" w:tplc="7D9AD944">
      <w:numFmt w:val="bullet"/>
      <w:lvlText w:val="•"/>
      <w:lvlJc w:val="left"/>
      <w:pPr>
        <w:ind w:left="6942" w:hanging="709"/>
      </w:pPr>
      <w:rPr>
        <w:lang w:val="it-IT" w:eastAsia="en-US" w:bidi="ar-SA"/>
      </w:rPr>
    </w:lvl>
    <w:lvl w:ilvl="8" w:tplc="9428666C">
      <w:numFmt w:val="bullet"/>
      <w:lvlText w:val="•"/>
      <w:lvlJc w:val="left"/>
      <w:pPr>
        <w:ind w:left="7917" w:hanging="709"/>
      </w:pPr>
      <w:rPr>
        <w:lang w:val="it-IT" w:eastAsia="en-US" w:bidi="ar-SA"/>
      </w:rPr>
    </w:lvl>
  </w:abstractNum>
  <w:abstractNum w:abstractNumId="5" w15:restartNumberingAfterBreak="0">
    <w:nsid w:val="634D4449"/>
    <w:multiLevelType w:val="hybridMultilevel"/>
    <w:tmpl w:val="E95E8232"/>
    <w:lvl w:ilvl="0" w:tplc="441AF90C">
      <w:start w:val="1"/>
      <w:numFmt w:val="lowerLetter"/>
      <w:lvlText w:val="%1)"/>
      <w:lvlJc w:val="left"/>
      <w:pPr>
        <w:ind w:left="833" w:hanging="348"/>
      </w:pPr>
      <w:rPr>
        <w:rFonts w:ascii="Calibri" w:eastAsia="Calibri" w:hAnsi="Calibri" w:cs="Calibri" w:hint="default"/>
        <w:b w:val="0"/>
        <w:bCs w:val="0"/>
        <w:i w:val="0"/>
        <w:iCs w:val="0"/>
        <w:spacing w:val="0"/>
        <w:w w:val="100"/>
        <w:sz w:val="24"/>
        <w:szCs w:val="24"/>
        <w:lang w:val="it-IT" w:eastAsia="en-US" w:bidi="ar-SA"/>
      </w:rPr>
    </w:lvl>
    <w:lvl w:ilvl="1" w:tplc="0AA813AC">
      <w:numFmt w:val="bullet"/>
      <w:lvlText w:val="•"/>
      <w:lvlJc w:val="left"/>
      <w:pPr>
        <w:ind w:left="1742" w:hanging="348"/>
      </w:pPr>
      <w:rPr>
        <w:lang w:val="it-IT" w:eastAsia="en-US" w:bidi="ar-SA"/>
      </w:rPr>
    </w:lvl>
    <w:lvl w:ilvl="2" w:tplc="FB3CAFE2">
      <w:numFmt w:val="bullet"/>
      <w:lvlText w:val="•"/>
      <w:lvlJc w:val="left"/>
      <w:pPr>
        <w:ind w:left="2645" w:hanging="348"/>
      </w:pPr>
      <w:rPr>
        <w:lang w:val="it-IT" w:eastAsia="en-US" w:bidi="ar-SA"/>
      </w:rPr>
    </w:lvl>
    <w:lvl w:ilvl="3" w:tplc="EDA221A4">
      <w:numFmt w:val="bullet"/>
      <w:lvlText w:val="•"/>
      <w:lvlJc w:val="left"/>
      <w:pPr>
        <w:ind w:left="3547" w:hanging="348"/>
      </w:pPr>
      <w:rPr>
        <w:lang w:val="it-IT" w:eastAsia="en-US" w:bidi="ar-SA"/>
      </w:rPr>
    </w:lvl>
    <w:lvl w:ilvl="4" w:tplc="09A2D02C">
      <w:numFmt w:val="bullet"/>
      <w:lvlText w:val="•"/>
      <w:lvlJc w:val="left"/>
      <w:pPr>
        <w:ind w:left="4450" w:hanging="348"/>
      </w:pPr>
      <w:rPr>
        <w:lang w:val="it-IT" w:eastAsia="en-US" w:bidi="ar-SA"/>
      </w:rPr>
    </w:lvl>
    <w:lvl w:ilvl="5" w:tplc="D228E388">
      <w:numFmt w:val="bullet"/>
      <w:lvlText w:val="•"/>
      <w:lvlJc w:val="left"/>
      <w:pPr>
        <w:ind w:left="5353" w:hanging="348"/>
      </w:pPr>
      <w:rPr>
        <w:lang w:val="it-IT" w:eastAsia="en-US" w:bidi="ar-SA"/>
      </w:rPr>
    </w:lvl>
    <w:lvl w:ilvl="6" w:tplc="59BC092E">
      <w:numFmt w:val="bullet"/>
      <w:lvlText w:val="•"/>
      <w:lvlJc w:val="left"/>
      <w:pPr>
        <w:ind w:left="6255" w:hanging="348"/>
      </w:pPr>
      <w:rPr>
        <w:lang w:val="it-IT" w:eastAsia="en-US" w:bidi="ar-SA"/>
      </w:rPr>
    </w:lvl>
    <w:lvl w:ilvl="7" w:tplc="92CABECC">
      <w:numFmt w:val="bullet"/>
      <w:lvlText w:val="•"/>
      <w:lvlJc w:val="left"/>
      <w:pPr>
        <w:ind w:left="7158" w:hanging="348"/>
      </w:pPr>
      <w:rPr>
        <w:lang w:val="it-IT" w:eastAsia="en-US" w:bidi="ar-SA"/>
      </w:rPr>
    </w:lvl>
    <w:lvl w:ilvl="8" w:tplc="0DD069B6">
      <w:numFmt w:val="bullet"/>
      <w:lvlText w:val="•"/>
      <w:lvlJc w:val="left"/>
      <w:pPr>
        <w:ind w:left="8061" w:hanging="348"/>
      </w:pPr>
      <w:rPr>
        <w:lang w:val="it-IT" w:eastAsia="en-US" w:bidi="ar-SA"/>
      </w:rPr>
    </w:lvl>
  </w:abstractNum>
  <w:abstractNum w:abstractNumId="6" w15:restartNumberingAfterBreak="0">
    <w:nsid w:val="661D425D"/>
    <w:multiLevelType w:val="hybridMultilevel"/>
    <w:tmpl w:val="5BD0D18C"/>
    <w:lvl w:ilvl="0" w:tplc="831E909C">
      <w:numFmt w:val="bullet"/>
      <w:lvlText w:val="•"/>
      <w:lvlJc w:val="left"/>
      <w:pPr>
        <w:ind w:left="112" w:hanging="709"/>
      </w:pPr>
      <w:rPr>
        <w:rFonts w:ascii="Times New Roman" w:eastAsia="Times New Roman" w:hAnsi="Times New Roman" w:cs="Times New Roman" w:hint="default"/>
        <w:w w:val="101"/>
        <w:sz w:val="24"/>
        <w:szCs w:val="24"/>
        <w:lang w:val="it-IT" w:eastAsia="en-US" w:bidi="ar-SA"/>
      </w:rPr>
    </w:lvl>
    <w:lvl w:ilvl="1" w:tplc="1744D19C">
      <w:numFmt w:val="bullet"/>
      <w:lvlText w:val="•"/>
      <w:lvlJc w:val="left"/>
      <w:pPr>
        <w:ind w:left="1094" w:hanging="709"/>
      </w:pPr>
      <w:rPr>
        <w:lang w:val="it-IT" w:eastAsia="en-US" w:bidi="ar-SA"/>
      </w:rPr>
    </w:lvl>
    <w:lvl w:ilvl="2" w:tplc="F72CF892">
      <w:numFmt w:val="bullet"/>
      <w:lvlText w:val="•"/>
      <w:lvlJc w:val="left"/>
      <w:pPr>
        <w:ind w:left="2069" w:hanging="709"/>
      </w:pPr>
      <w:rPr>
        <w:lang w:val="it-IT" w:eastAsia="en-US" w:bidi="ar-SA"/>
      </w:rPr>
    </w:lvl>
    <w:lvl w:ilvl="3" w:tplc="AFDE8B7A">
      <w:numFmt w:val="bullet"/>
      <w:lvlText w:val="•"/>
      <w:lvlJc w:val="left"/>
      <w:pPr>
        <w:ind w:left="3043" w:hanging="709"/>
      </w:pPr>
      <w:rPr>
        <w:lang w:val="it-IT" w:eastAsia="en-US" w:bidi="ar-SA"/>
      </w:rPr>
    </w:lvl>
    <w:lvl w:ilvl="4" w:tplc="2862A3B0">
      <w:numFmt w:val="bullet"/>
      <w:lvlText w:val="•"/>
      <w:lvlJc w:val="left"/>
      <w:pPr>
        <w:ind w:left="4018" w:hanging="709"/>
      </w:pPr>
      <w:rPr>
        <w:lang w:val="it-IT" w:eastAsia="en-US" w:bidi="ar-SA"/>
      </w:rPr>
    </w:lvl>
    <w:lvl w:ilvl="5" w:tplc="2EDC3366">
      <w:numFmt w:val="bullet"/>
      <w:lvlText w:val="•"/>
      <w:lvlJc w:val="left"/>
      <w:pPr>
        <w:ind w:left="4993" w:hanging="709"/>
      </w:pPr>
      <w:rPr>
        <w:lang w:val="it-IT" w:eastAsia="en-US" w:bidi="ar-SA"/>
      </w:rPr>
    </w:lvl>
    <w:lvl w:ilvl="6" w:tplc="2DA8EB10">
      <w:numFmt w:val="bullet"/>
      <w:lvlText w:val="•"/>
      <w:lvlJc w:val="left"/>
      <w:pPr>
        <w:ind w:left="5967" w:hanging="709"/>
      </w:pPr>
      <w:rPr>
        <w:lang w:val="it-IT" w:eastAsia="en-US" w:bidi="ar-SA"/>
      </w:rPr>
    </w:lvl>
    <w:lvl w:ilvl="7" w:tplc="71CE529C">
      <w:numFmt w:val="bullet"/>
      <w:lvlText w:val="•"/>
      <w:lvlJc w:val="left"/>
      <w:pPr>
        <w:ind w:left="6942" w:hanging="709"/>
      </w:pPr>
      <w:rPr>
        <w:lang w:val="it-IT" w:eastAsia="en-US" w:bidi="ar-SA"/>
      </w:rPr>
    </w:lvl>
    <w:lvl w:ilvl="8" w:tplc="962EE280">
      <w:numFmt w:val="bullet"/>
      <w:lvlText w:val="•"/>
      <w:lvlJc w:val="left"/>
      <w:pPr>
        <w:ind w:left="7917" w:hanging="709"/>
      </w:pPr>
      <w:rPr>
        <w:lang w:val="it-IT" w:eastAsia="en-US" w:bidi="ar-SA"/>
      </w:rPr>
    </w:lvl>
  </w:abstractNum>
  <w:abstractNum w:abstractNumId="7" w15:restartNumberingAfterBreak="0">
    <w:nsid w:val="76CD7A63"/>
    <w:multiLevelType w:val="multilevel"/>
    <w:tmpl w:val="09925F1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4"/>
  </w:num>
  <w:num w:numId="2">
    <w:abstractNumId w:val="4"/>
  </w:num>
  <w:num w:numId="3">
    <w:abstractNumId w:val="6"/>
  </w:num>
  <w:num w:numId="4">
    <w:abstractNumId w:val="6"/>
  </w:num>
  <w:num w:numId="5">
    <w:abstractNumId w:val="7"/>
  </w:num>
  <w:num w:numId="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
  </w:num>
  <w:num w:numId="8">
    <w:abstractNumId w:val="3"/>
    <w:lvlOverride w:ilvl="0">
      <w:startOverride w:val="1"/>
    </w:lvlOverride>
    <w:lvlOverride w:ilvl="1">
      <w:startOverride w:val="1"/>
    </w:lvlOverride>
    <w:lvlOverride w:ilvl="2"/>
    <w:lvlOverride w:ilvl="3"/>
    <w:lvlOverride w:ilvl="4"/>
    <w:lvlOverride w:ilvl="5"/>
    <w:lvlOverride w:ilvl="6"/>
    <w:lvlOverride w:ilvl="7"/>
    <w:lvlOverride w:ilvl="8"/>
  </w:num>
  <w:num w:numId="9">
    <w:abstractNumId w:val="2"/>
  </w:num>
  <w:num w:numId="10">
    <w:abstractNumId w:val="2"/>
  </w:num>
  <w:num w:numId="11">
    <w:abstractNumId w:val="5"/>
  </w:num>
  <w:num w:numId="12">
    <w:abstractNumId w:val="5"/>
    <w:lvlOverride w:ilvl="0">
      <w:startOverride w:val="1"/>
    </w:lvlOverride>
    <w:lvlOverride w:ilvl="1"/>
    <w:lvlOverride w:ilvl="2"/>
    <w:lvlOverride w:ilvl="3"/>
    <w:lvlOverride w:ilvl="4"/>
    <w:lvlOverride w:ilvl="5"/>
    <w:lvlOverride w:ilvl="6"/>
    <w:lvlOverride w:ilvl="7"/>
    <w:lvlOverride w:ilvl="8"/>
  </w:num>
  <w:num w:numId="13">
    <w:abstractNumId w:val="0"/>
  </w:num>
  <w:num w:numId="1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2CC8"/>
    <w:rsid w:val="000410A9"/>
    <w:rsid w:val="0004549F"/>
    <w:rsid w:val="00066157"/>
    <w:rsid w:val="001818FF"/>
    <w:rsid w:val="00392CC8"/>
    <w:rsid w:val="005A0C34"/>
    <w:rsid w:val="005D70C5"/>
    <w:rsid w:val="00625056"/>
    <w:rsid w:val="00651B21"/>
    <w:rsid w:val="006D4CFE"/>
    <w:rsid w:val="0076391B"/>
    <w:rsid w:val="00AF3A08"/>
    <w:rsid w:val="00BB3CC4"/>
    <w:rsid w:val="00BE5ABF"/>
    <w:rsid w:val="00D976EB"/>
    <w:rsid w:val="00DC4EA5"/>
    <w:rsid w:val="00DC5023"/>
    <w:rsid w:val="00EF710A"/>
    <w:rsid w:val="00FE4BC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F4A3DB"/>
  <w15:chartTrackingRefBased/>
  <w15:docId w15:val="{909CFCF1-7D49-496B-B1DF-28E943D13D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AF3A08"/>
    <w:pPr>
      <w:spacing w:line="256" w:lineRule="auto"/>
    </w:pPr>
  </w:style>
  <w:style w:type="paragraph" w:styleId="Titolo1">
    <w:name w:val="heading 1"/>
    <w:basedOn w:val="Normale"/>
    <w:link w:val="Titolo1Carattere"/>
    <w:uiPriority w:val="9"/>
    <w:qFormat/>
    <w:rsid w:val="00AF3A08"/>
    <w:pPr>
      <w:widowControl w:val="0"/>
      <w:autoSpaceDE w:val="0"/>
      <w:autoSpaceDN w:val="0"/>
      <w:spacing w:after="0" w:line="240" w:lineRule="auto"/>
      <w:ind w:left="112"/>
      <w:jc w:val="center"/>
      <w:outlineLvl w:val="0"/>
    </w:pPr>
    <w:rPr>
      <w:rFonts w:ascii="Times New Roman" w:eastAsia="Times New Roman" w:hAnsi="Times New Roman" w:cs="Times New Roman"/>
      <w:b/>
      <w:bCs/>
      <w:sz w:val="24"/>
      <w:szCs w:val="24"/>
    </w:rPr>
  </w:style>
  <w:style w:type="paragraph" w:styleId="Titolo2">
    <w:name w:val="heading 2"/>
    <w:basedOn w:val="Normale"/>
    <w:link w:val="Titolo2Carattere"/>
    <w:uiPriority w:val="9"/>
    <w:semiHidden/>
    <w:unhideWhenUsed/>
    <w:qFormat/>
    <w:rsid w:val="00AF3A08"/>
    <w:pPr>
      <w:widowControl w:val="0"/>
      <w:autoSpaceDE w:val="0"/>
      <w:autoSpaceDN w:val="0"/>
      <w:spacing w:after="0" w:line="240" w:lineRule="auto"/>
      <w:ind w:left="112"/>
      <w:jc w:val="both"/>
      <w:outlineLvl w:val="1"/>
    </w:pPr>
    <w:rPr>
      <w:rFonts w:ascii="Times New Roman" w:eastAsia="Times New Roman" w:hAnsi="Times New Roman" w:cs="Times New Roman"/>
      <w:b/>
      <w:bCs/>
      <w:sz w:val="24"/>
      <w:szCs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AF3A08"/>
    <w:rPr>
      <w:rFonts w:ascii="Times New Roman" w:eastAsia="Times New Roman" w:hAnsi="Times New Roman" w:cs="Times New Roman"/>
      <w:b/>
      <w:bCs/>
      <w:sz w:val="24"/>
      <w:szCs w:val="24"/>
    </w:rPr>
  </w:style>
  <w:style w:type="character" w:customStyle="1" w:styleId="Titolo2Carattere">
    <w:name w:val="Titolo 2 Carattere"/>
    <w:basedOn w:val="Carpredefinitoparagrafo"/>
    <w:link w:val="Titolo2"/>
    <w:uiPriority w:val="9"/>
    <w:semiHidden/>
    <w:rsid w:val="00AF3A08"/>
    <w:rPr>
      <w:rFonts w:ascii="Times New Roman" w:eastAsia="Times New Roman" w:hAnsi="Times New Roman" w:cs="Times New Roman"/>
      <w:b/>
      <w:bCs/>
      <w:sz w:val="24"/>
      <w:szCs w:val="24"/>
    </w:rPr>
  </w:style>
  <w:style w:type="character" w:styleId="Collegamentoipertestuale">
    <w:name w:val="Hyperlink"/>
    <w:basedOn w:val="Carpredefinitoparagrafo"/>
    <w:uiPriority w:val="99"/>
    <w:semiHidden/>
    <w:unhideWhenUsed/>
    <w:rsid w:val="00AF3A08"/>
    <w:rPr>
      <w:color w:val="0563C1"/>
      <w:u w:val="single"/>
    </w:rPr>
  </w:style>
  <w:style w:type="character" w:styleId="Collegamentovisitato">
    <w:name w:val="FollowedHyperlink"/>
    <w:basedOn w:val="Carpredefinitoparagrafo"/>
    <w:uiPriority w:val="99"/>
    <w:semiHidden/>
    <w:unhideWhenUsed/>
    <w:rsid w:val="00AF3A08"/>
    <w:rPr>
      <w:color w:val="954F72"/>
      <w:u w:val="single"/>
    </w:rPr>
  </w:style>
  <w:style w:type="paragraph" w:customStyle="1" w:styleId="msonormal0">
    <w:name w:val="msonormal"/>
    <w:basedOn w:val="Normale"/>
    <w:rsid w:val="00AF3A08"/>
    <w:pPr>
      <w:spacing w:after="0" w:line="240" w:lineRule="auto"/>
    </w:pPr>
    <w:rPr>
      <w:rFonts w:ascii="Calibri" w:hAnsi="Calibri" w:cs="Calibri"/>
      <w:lang w:eastAsia="it-IT"/>
    </w:rPr>
  </w:style>
  <w:style w:type="paragraph" w:styleId="Intestazione">
    <w:name w:val="header"/>
    <w:basedOn w:val="Normale"/>
    <w:link w:val="IntestazioneCarattere"/>
    <w:uiPriority w:val="99"/>
    <w:semiHidden/>
    <w:unhideWhenUsed/>
    <w:rsid w:val="00AF3A08"/>
    <w:pPr>
      <w:widowControl w:val="0"/>
      <w:tabs>
        <w:tab w:val="center" w:pos="4819"/>
        <w:tab w:val="right" w:pos="9638"/>
      </w:tabs>
      <w:autoSpaceDE w:val="0"/>
      <w:autoSpaceDN w:val="0"/>
      <w:spacing w:after="0" w:line="240" w:lineRule="auto"/>
    </w:pPr>
    <w:rPr>
      <w:rFonts w:ascii="Times New Roman" w:eastAsia="Times New Roman" w:hAnsi="Times New Roman" w:cs="Times New Roman"/>
    </w:rPr>
  </w:style>
  <w:style w:type="character" w:customStyle="1" w:styleId="IntestazioneCarattere">
    <w:name w:val="Intestazione Carattere"/>
    <w:basedOn w:val="Carpredefinitoparagrafo"/>
    <w:link w:val="Intestazione"/>
    <w:uiPriority w:val="99"/>
    <w:semiHidden/>
    <w:rsid w:val="00AF3A08"/>
    <w:rPr>
      <w:rFonts w:ascii="Times New Roman" w:eastAsia="Times New Roman" w:hAnsi="Times New Roman" w:cs="Times New Roman"/>
    </w:rPr>
  </w:style>
  <w:style w:type="paragraph" w:styleId="Pidipagina">
    <w:name w:val="footer"/>
    <w:basedOn w:val="Normale"/>
    <w:link w:val="PidipaginaCarattere"/>
    <w:uiPriority w:val="99"/>
    <w:semiHidden/>
    <w:unhideWhenUsed/>
    <w:rsid w:val="00AF3A08"/>
    <w:pPr>
      <w:widowControl w:val="0"/>
      <w:tabs>
        <w:tab w:val="center" w:pos="4819"/>
        <w:tab w:val="right" w:pos="9638"/>
      </w:tabs>
      <w:autoSpaceDE w:val="0"/>
      <w:autoSpaceDN w:val="0"/>
      <w:spacing w:after="0" w:line="240" w:lineRule="auto"/>
    </w:pPr>
    <w:rPr>
      <w:rFonts w:ascii="Times New Roman" w:eastAsia="Times New Roman" w:hAnsi="Times New Roman" w:cs="Times New Roman"/>
    </w:rPr>
  </w:style>
  <w:style w:type="character" w:customStyle="1" w:styleId="PidipaginaCarattere">
    <w:name w:val="Piè di pagina Carattere"/>
    <w:basedOn w:val="Carpredefinitoparagrafo"/>
    <w:link w:val="Pidipagina"/>
    <w:uiPriority w:val="99"/>
    <w:semiHidden/>
    <w:rsid w:val="00AF3A08"/>
    <w:rPr>
      <w:rFonts w:ascii="Times New Roman" w:eastAsia="Times New Roman" w:hAnsi="Times New Roman" w:cs="Times New Roman"/>
    </w:rPr>
  </w:style>
  <w:style w:type="paragraph" w:styleId="Titolo">
    <w:name w:val="Title"/>
    <w:basedOn w:val="Normale"/>
    <w:link w:val="TitoloCarattere"/>
    <w:uiPriority w:val="10"/>
    <w:qFormat/>
    <w:rsid w:val="00AF3A08"/>
    <w:pPr>
      <w:widowControl w:val="0"/>
      <w:autoSpaceDE w:val="0"/>
      <w:autoSpaceDN w:val="0"/>
      <w:spacing w:before="26" w:after="0" w:line="240" w:lineRule="auto"/>
      <w:ind w:left="905" w:right="380"/>
      <w:jc w:val="center"/>
    </w:pPr>
    <w:rPr>
      <w:rFonts w:ascii="Times New Roman" w:eastAsia="Times New Roman" w:hAnsi="Times New Roman" w:cs="Times New Roman"/>
      <w:b/>
      <w:bCs/>
      <w:sz w:val="32"/>
      <w:szCs w:val="32"/>
    </w:rPr>
  </w:style>
  <w:style w:type="character" w:customStyle="1" w:styleId="TitoloCarattere">
    <w:name w:val="Titolo Carattere"/>
    <w:basedOn w:val="Carpredefinitoparagrafo"/>
    <w:link w:val="Titolo"/>
    <w:uiPriority w:val="10"/>
    <w:rsid w:val="00AF3A08"/>
    <w:rPr>
      <w:rFonts w:ascii="Times New Roman" w:eastAsia="Times New Roman" w:hAnsi="Times New Roman" w:cs="Times New Roman"/>
      <w:b/>
      <w:bCs/>
      <w:sz w:val="32"/>
      <w:szCs w:val="32"/>
    </w:rPr>
  </w:style>
  <w:style w:type="paragraph" w:styleId="Corpotesto">
    <w:name w:val="Body Text"/>
    <w:basedOn w:val="Normale"/>
    <w:link w:val="CorpotestoCarattere"/>
    <w:uiPriority w:val="1"/>
    <w:semiHidden/>
    <w:unhideWhenUsed/>
    <w:qFormat/>
    <w:rsid w:val="00AF3A08"/>
    <w:pPr>
      <w:widowControl w:val="0"/>
      <w:autoSpaceDE w:val="0"/>
      <w:autoSpaceDN w:val="0"/>
      <w:spacing w:after="0" w:line="240" w:lineRule="auto"/>
      <w:ind w:left="112"/>
      <w:jc w:val="both"/>
    </w:pPr>
    <w:rPr>
      <w:rFonts w:ascii="Times New Roman" w:eastAsia="Times New Roman" w:hAnsi="Times New Roman" w:cs="Times New Roman"/>
      <w:sz w:val="24"/>
      <w:szCs w:val="24"/>
    </w:rPr>
  </w:style>
  <w:style w:type="character" w:customStyle="1" w:styleId="CorpotestoCarattere">
    <w:name w:val="Corpo testo Carattere"/>
    <w:basedOn w:val="Carpredefinitoparagrafo"/>
    <w:link w:val="Corpotesto"/>
    <w:uiPriority w:val="1"/>
    <w:semiHidden/>
    <w:rsid w:val="00AF3A08"/>
    <w:rPr>
      <w:rFonts w:ascii="Times New Roman" w:eastAsia="Times New Roman" w:hAnsi="Times New Roman" w:cs="Times New Roman"/>
      <w:sz w:val="24"/>
      <w:szCs w:val="24"/>
    </w:rPr>
  </w:style>
  <w:style w:type="paragraph" w:styleId="Paragrafoelenco">
    <w:name w:val="List Paragraph"/>
    <w:basedOn w:val="Normale"/>
    <w:uiPriority w:val="1"/>
    <w:qFormat/>
    <w:rsid w:val="00AF3A08"/>
    <w:pPr>
      <w:widowControl w:val="0"/>
      <w:autoSpaceDE w:val="0"/>
      <w:autoSpaceDN w:val="0"/>
      <w:spacing w:after="0" w:line="240" w:lineRule="auto"/>
      <w:ind w:left="112"/>
      <w:jc w:val="both"/>
    </w:pPr>
    <w:rPr>
      <w:rFonts w:ascii="Times New Roman" w:eastAsia="Times New Roman" w:hAnsi="Times New Roman" w:cs="Times New Roman"/>
    </w:rPr>
  </w:style>
  <w:style w:type="paragraph" w:customStyle="1" w:styleId="TableParagraph">
    <w:name w:val="Table Paragraph"/>
    <w:basedOn w:val="Normale"/>
    <w:uiPriority w:val="1"/>
    <w:qFormat/>
    <w:rsid w:val="00AF3A08"/>
    <w:pPr>
      <w:widowControl w:val="0"/>
      <w:autoSpaceDE w:val="0"/>
      <w:autoSpaceDN w:val="0"/>
      <w:spacing w:after="0" w:line="240" w:lineRule="auto"/>
    </w:pPr>
    <w:rPr>
      <w:rFonts w:ascii="Times New Roman" w:eastAsia="Times New Roman" w:hAnsi="Times New Roman" w:cs="Times New Roman"/>
    </w:rPr>
  </w:style>
  <w:style w:type="character" w:customStyle="1" w:styleId="stilemessaggiodipostaelettronica18">
    <w:name w:val="stilemessaggiodipostaelettronica18"/>
    <w:basedOn w:val="Carpredefinitoparagrafo"/>
    <w:semiHidden/>
    <w:rsid w:val="00AF3A08"/>
    <w:rPr>
      <w:rFonts w:ascii="Calibri" w:hAnsi="Calibri" w:cs="Calibri" w:hint="default"/>
      <w:color w:val="auto"/>
    </w:rPr>
  </w:style>
  <w:style w:type="table" w:customStyle="1" w:styleId="TableNormal">
    <w:name w:val="Table Normal"/>
    <w:uiPriority w:val="2"/>
    <w:semiHidden/>
    <w:qFormat/>
    <w:rsid w:val="00AF3A08"/>
    <w:pPr>
      <w:widowControl w:val="0"/>
      <w:autoSpaceDE w:val="0"/>
      <w:autoSpaceDN w:val="0"/>
      <w:spacing w:after="0" w:line="240" w:lineRule="auto"/>
    </w:pPr>
    <w:rPr>
      <w:lang w:val="en-US"/>
    </w:rPr>
    <w:tblPr>
      <w:tblCellMar>
        <w:top w:w="0" w:type="dxa"/>
        <w:left w:w="0" w:type="dxa"/>
        <w:bottom w:w="0" w:type="dxa"/>
        <w:right w:w="0" w:type="dxa"/>
      </w:tblCellMar>
    </w:tblPr>
  </w:style>
  <w:style w:type="table" w:customStyle="1" w:styleId="TableNormal1">
    <w:name w:val="Table Normal1"/>
    <w:uiPriority w:val="2"/>
    <w:semiHidden/>
    <w:qFormat/>
    <w:rsid w:val="00AF3A08"/>
    <w:pPr>
      <w:widowControl w:val="0"/>
      <w:autoSpaceDE w:val="0"/>
      <w:autoSpaceDN w:val="0"/>
      <w:spacing w:after="0" w:line="240" w:lineRule="auto"/>
    </w:pPr>
    <w:rPr>
      <w:lang w:val="en-US"/>
    </w:rPr>
    <w:tblPr>
      <w:tblCellMar>
        <w:top w:w="0" w:type="dxa"/>
        <w:left w:w="0" w:type="dxa"/>
        <w:bottom w:w="0" w:type="dxa"/>
        <w:right w:w="0" w:type="dxa"/>
      </w:tblCellMar>
    </w:tblPr>
  </w:style>
  <w:style w:type="table" w:styleId="Grigliatabella">
    <w:name w:val="Table Grid"/>
    <w:basedOn w:val="Tabellanormale"/>
    <w:uiPriority w:val="39"/>
    <w:rsid w:val="000410A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744187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699</Words>
  <Characters>3985</Characters>
  <Application>Microsoft Office Word</Application>
  <DocSecurity>0</DocSecurity>
  <Lines>33</Lines>
  <Paragraphs>9</Paragraphs>
  <ScaleCrop>false</ScaleCrop>
  <HeadingPairs>
    <vt:vector size="2" baseType="variant">
      <vt:variant>
        <vt:lpstr>Titolo</vt:lpstr>
      </vt:variant>
      <vt:variant>
        <vt:i4>1</vt:i4>
      </vt:variant>
    </vt:vector>
  </HeadingPairs>
  <TitlesOfParts>
    <vt:vector size="1" baseType="lpstr">
      <vt:lpstr/>
    </vt:vector>
  </TitlesOfParts>
  <Company>Ministero della Giustizia</Company>
  <LinksUpToDate>false</LinksUpToDate>
  <CharactersWithSpaces>4675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Francesca Pastore</dc:creator>
  <cp:keywords/>
  <dc:description/>
  <cp:lastModifiedBy>Rosa Caricato</cp:lastModifiedBy>
  <cp:revision>2</cp:revision>
  <dcterms:created xsi:type="dcterms:W3CDTF">2024-10-08T11:21:00Z</dcterms:created>
  <dcterms:modified xsi:type="dcterms:W3CDTF">2024-10-08T11:21:00Z</dcterms:modified>
</cp:coreProperties>
</file>